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5EC2" w14:textId="46C88087" w:rsidR="0033301A" w:rsidRPr="00BB4C42" w:rsidRDefault="0033301A">
      <w:pPr>
        <w:pStyle w:val="Heading3"/>
        <w:spacing w:line="240" w:lineRule="auto"/>
        <w:rPr>
          <w:rFonts w:asciiTheme="majorHAnsi" w:eastAsia="Gill Sans" w:hAnsiTheme="majorHAnsi" w:cstheme="majorHAnsi"/>
          <w:b/>
          <w:color w:val="BA0C2F"/>
          <w:sz w:val="40"/>
          <w:szCs w:val="40"/>
        </w:rPr>
      </w:pPr>
      <w:r w:rsidRPr="00BB4C42">
        <w:rPr>
          <w:rFonts w:asciiTheme="majorHAnsi" w:hAnsiTheme="majorHAnsi" w:cstheme="majorHAnsi"/>
          <w:b/>
          <w:noProof/>
          <w:color w:val="BA0C2F"/>
          <w:sz w:val="40"/>
          <w:szCs w:val="40"/>
          <w:lang w:val="en-US"/>
        </w:rPr>
        <w:drawing>
          <wp:anchor distT="0" distB="0" distL="114300" distR="114300" simplePos="0" relativeHeight="251658240" behindDoc="0" locked="0" layoutInCell="1" allowOverlap="1" wp14:anchorId="49D40217" wp14:editId="14F79AE1">
            <wp:simplePos x="0" y="0"/>
            <wp:positionH relativeFrom="margin">
              <wp:align>left</wp:align>
            </wp:positionH>
            <wp:positionV relativeFrom="paragraph">
              <wp:posOffset>15240</wp:posOffset>
            </wp:positionV>
            <wp:extent cx="1587500" cy="5143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4" cstate="print">
                      <a:extLst>
                        <a:ext uri="{28A0092B-C50C-407E-A947-70E740481C1C}">
                          <a14:useLocalDpi xmlns:a14="http://schemas.microsoft.com/office/drawing/2010/main" val="0"/>
                        </a:ext>
                      </a:extLst>
                    </a:blip>
                    <a:srcRect l="8796" t="12176" r="6565" b="17321"/>
                    <a:stretch/>
                  </pic:blipFill>
                  <pic:spPr bwMode="auto">
                    <a:xfrm>
                      <a:off x="0" y="0"/>
                      <a:ext cx="1587500" cy="514350"/>
                    </a:xfrm>
                    <a:prstGeom prst="rect">
                      <a:avLst/>
                    </a:prstGeom>
                    <a:ln>
                      <a:noFill/>
                    </a:ln>
                    <a:extLst>
                      <a:ext uri="{53640926-AAD7-44D8-BBD7-CCE9431645EC}">
                        <a14:shadowObscured xmlns:a14="http://schemas.microsoft.com/office/drawing/2010/main"/>
                      </a:ext>
                    </a:extLst>
                  </pic:spPr>
                </pic:pic>
              </a:graphicData>
            </a:graphic>
          </wp:anchor>
        </w:drawing>
      </w:r>
    </w:p>
    <w:p w14:paraId="504FB601" w14:textId="42ACC6DC" w:rsidR="00343C7C" w:rsidRPr="00BB4C42" w:rsidRDefault="007430B2">
      <w:pPr>
        <w:pStyle w:val="Heading3"/>
        <w:spacing w:line="240" w:lineRule="auto"/>
        <w:rPr>
          <w:rFonts w:asciiTheme="majorHAnsi" w:eastAsia="Gill Sans" w:hAnsiTheme="majorHAnsi" w:cstheme="majorHAnsi"/>
          <w:b/>
          <w:color w:val="BA0C2F"/>
          <w:sz w:val="40"/>
          <w:szCs w:val="40"/>
        </w:rPr>
      </w:pPr>
      <w:r w:rsidRPr="00BB4C42">
        <w:rPr>
          <w:rFonts w:asciiTheme="majorHAnsi" w:hAnsiTheme="majorHAnsi" w:cstheme="majorHAnsi"/>
          <w:b/>
          <w:color w:val="BA0C2F"/>
          <w:sz w:val="40"/>
          <w:szCs w:val="40"/>
        </w:rPr>
        <w:t xml:space="preserve">Phát Triển Các Mục Tiêu Bình Đẳng Giới, Mục Tiêu SMART và </w:t>
      </w:r>
      <w:r w:rsidR="00BB4C42" w:rsidRPr="003716E0">
        <w:rPr>
          <w:rFonts w:asciiTheme="majorHAnsi" w:hAnsiTheme="majorHAnsi" w:cstheme="majorHAnsi"/>
          <w:b/>
          <w:color w:val="BA0C2F"/>
          <w:sz w:val="40"/>
          <w:szCs w:val="40"/>
        </w:rPr>
        <w:t xml:space="preserve">Các </w:t>
      </w:r>
      <w:r w:rsidRPr="00BB4C42">
        <w:rPr>
          <w:rFonts w:asciiTheme="majorHAnsi" w:hAnsiTheme="majorHAnsi" w:cstheme="majorHAnsi"/>
          <w:b/>
          <w:color w:val="BA0C2F"/>
          <w:sz w:val="40"/>
          <w:szCs w:val="40"/>
        </w:rPr>
        <w:t>Hoạt Động</w:t>
      </w:r>
    </w:p>
    <w:p w14:paraId="1D063642" w14:textId="77777777" w:rsidR="00343C7C" w:rsidRPr="00BB4C42" w:rsidRDefault="00343C7C">
      <w:pPr>
        <w:widowControl w:val="0"/>
        <w:spacing w:line="240" w:lineRule="auto"/>
        <w:rPr>
          <w:rFonts w:asciiTheme="majorHAnsi" w:eastAsia="Gill Sans" w:hAnsiTheme="majorHAnsi" w:cstheme="majorHAnsi"/>
          <w:b/>
          <w:sz w:val="24"/>
          <w:szCs w:val="24"/>
        </w:rPr>
      </w:pPr>
    </w:p>
    <w:p w14:paraId="125C390D" w14:textId="041786FE" w:rsidR="00343C7C" w:rsidRPr="00BB4C42" w:rsidRDefault="0033301A">
      <w:pPr>
        <w:widowControl w:val="0"/>
        <w:spacing w:line="240" w:lineRule="auto"/>
        <w:rPr>
          <w:rFonts w:asciiTheme="majorHAnsi" w:eastAsia="Gill Sans" w:hAnsiTheme="majorHAnsi" w:cstheme="majorHAnsi"/>
        </w:rPr>
      </w:pPr>
      <w:r w:rsidRPr="00BB4C42">
        <w:rPr>
          <w:rFonts w:asciiTheme="majorHAnsi" w:hAnsiTheme="majorHAnsi" w:cstheme="majorHAnsi"/>
          <w:b/>
        </w:rPr>
        <w:t>Hướng dẫn:</w:t>
      </w:r>
      <w:r w:rsidRPr="00BB4C42">
        <w:rPr>
          <w:rFonts w:asciiTheme="majorHAnsi" w:hAnsiTheme="majorHAnsi" w:cstheme="majorHAnsi"/>
          <w:b/>
          <w:i/>
        </w:rPr>
        <w:t xml:space="preserve"> </w:t>
      </w:r>
      <w:r w:rsidRPr="00BB4C42">
        <w:rPr>
          <w:rFonts w:asciiTheme="majorHAnsi" w:hAnsiTheme="majorHAnsi" w:cstheme="majorHAnsi"/>
          <w:highlight w:val="white"/>
        </w:rPr>
        <w:t xml:space="preserve">Điền vào bảng dưới đây các mục tiêu bình đẳng giới được xác định trong sơ đồ quan hệ nhân quả của quý vị. Sau đó, phối hợp làm việc với các đồng nghiệp trong tổ chức của quý vị để xác định các mục tiêu SMART tương ứng. Cuối cùng, xác định các hoạt động tương ứng, tư duy chiến lược về các hoạt động có thể được thực hiện </w:t>
      </w:r>
      <w:r w:rsidR="00BB4C42" w:rsidRPr="003716E0">
        <w:rPr>
          <w:rFonts w:asciiTheme="majorHAnsi" w:hAnsiTheme="majorHAnsi" w:cstheme="majorHAnsi"/>
          <w:highlight w:val="white"/>
        </w:rPr>
        <w:t xml:space="preserve">trong thời gian </w:t>
      </w:r>
      <w:r w:rsidRPr="00BB4C42">
        <w:rPr>
          <w:rFonts w:asciiTheme="majorHAnsi" w:hAnsiTheme="majorHAnsi" w:cstheme="majorHAnsi"/>
          <w:highlight w:val="white"/>
        </w:rPr>
        <w:t>ngắn, trung và dài hạn. Sau đó, chia sẻ ý tưởng của quý vị trong cuộc họp toàn thể.</w:t>
      </w:r>
      <w:r w:rsidRPr="00BB4C42">
        <w:rPr>
          <w:rFonts w:asciiTheme="majorHAnsi" w:hAnsiTheme="majorHAnsi" w:cstheme="majorHAnsi"/>
        </w:rPr>
        <w:t xml:space="preserve"> </w:t>
      </w:r>
    </w:p>
    <w:p w14:paraId="77056E9A" w14:textId="77777777" w:rsidR="00343C7C" w:rsidRPr="00BB4C42" w:rsidRDefault="00343C7C">
      <w:pPr>
        <w:widowControl w:val="0"/>
        <w:spacing w:line="240" w:lineRule="auto"/>
        <w:rPr>
          <w:rFonts w:asciiTheme="majorHAnsi" w:eastAsia="Gill Sans" w:hAnsiTheme="majorHAnsi" w:cstheme="majorHAnsi"/>
          <w:sz w:val="24"/>
          <w:szCs w:val="24"/>
        </w:rPr>
      </w:pPr>
    </w:p>
    <w:tbl>
      <w:tblPr>
        <w:tblStyle w:val="TableGrid"/>
        <w:tblW w:w="0" w:type="auto"/>
        <w:tblLook w:val="04A0" w:firstRow="1" w:lastRow="0" w:firstColumn="1" w:lastColumn="0" w:noHBand="0" w:noVBand="1"/>
      </w:tblPr>
      <w:tblGrid>
        <w:gridCol w:w="2878"/>
        <w:gridCol w:w="2878"/>
        <w:gridCol w:w="2878"/>
        <w:gridCol w:w="2878"/>
        <w:gridCol w:w="2878"/>
      </w:tblGrid>
      <w:tr w:rsidR="00BA43A8" w:rsidRPr="00BB4C42" w14:paraId="3EF58D12" w14:textId="77777777" w:rsidTr="00BA43A8">
        <w:trPr>
          <w:trHeight w:val="809"/>
        </w:trPr>
        <w:tc>
          <w:tcPr>
            <w:tcW w:w="2878" w:type="dxa"/>
            <w:vMerge w:val="restart"/>
            <w:vAlign w:val="center"/>
          </w:tcPr>
          <w:p w14:paraId="446CA0EC" w14:textId="57C5AB6F" w:rsidR="00BA43A8" w:rsidRPr="003716E0" w:rsidRDefault="00BA43A8" w:rsidP="00BA43A8">
            <w:pPr>
              <w:widowControl w:val="0"/>
              <w:jc w:val="center"/>
              <w:rPr>
                <w:rFonts w:asciiTheme="majorHAnsi" w:eastAsia="Gill Sans" w:hAnsiTheme="majorHAnsi" w:cstheme="majorHAnsi"/>
                <w:b/>
                <w:bCs/>
                <w:color w:val="BA0C2F"/>
                <w:sz w:val="28"/>
                <w:szCs w:val="28"/>
              </w:rPr>
            </w:pPr>
            <w:r w:rsidRPr="00BB4C42">
              <w:rPr>
                <w:rFonts w:asciiTheme="majorHAnsi" w:hAnsiTheme="majorHAnsi" w:cstheme="majorHAnsi"/>
                <w:b/>
                <w:bCs/>
                <w:color w:val="BA0C2F"/>
                <w:sz w:val="28"/>
                <w:szCs w:val="28"/>
              </w:rPr>
              <w:t>Mục Tiêu</w:t>
            </w:r>
            <w:r w:rsidR="00BB4C42" w:rsidRPr="003716E0">
              <w:rPr>
                <w:rFonts w:asciiTheme="majorHAnsi" w:hAnsiTheme="majorHAnsi" w:cstheme="majorHAnsi"/>
                <w:b/>
                <w:bCs/>
                <w:color w:val="BA0C2F"/>
                <w:sz w:val="28"/>
                <w:szCs w:val="28"/>
              </w:rPr>
              <w:t xml:space="preserve"> Bình Đẳng Giới</w:t>
            </w:r>
          </w:p>
        </w:tc>
        <w:tc>
          <w:tcPr>
            <w:tcW w:w="2878" w:type="dxa"/>
            <w:vMerge w:val="restart"/>
            <w:vAlign w:val="center"/>
          </w:tcPr>
          <w:p w14:paraId="16664811" w14:textId="564F86CB" w:rsidR="00BA43A8" w:rsidRPr="00BB4C42" w:rsidRDefault="00BA43A8" w:rsidP="00BA43A8">
            <w:pPr>
              <w:widowControl w:val="0"/>
              <w:jc w:val="center"/>
              <w:rPr>
                <w:rFonts w:asciiTheme="majorHAnsi" w:eastAsia="Gill Sans" w:hAnsiTheme="majorHAnsi" w:cstheme="majorHAnsi"/>
                <w:b/>
                <w:bCs/>
                <w:color w:val="BA0C2F"/>
                <w:sz w:val="28"/>
                <w:szCs w:val="28"/>
              </w:rPr>
            </w:pPr>
            <w:r w:rsidRPr="00BB4C42">
              <w:rPr>
                <w:rFonts w:asciiTheme="majorHAnsi" w:hAnsiTheme="majorHAnsi" w:cstheme="majorHAnsi"/>
                <w:b/>
                <w:bCs/>
                <w:color w:val="BA0C2F"/>
                <w:sz w:val="28"/>
                <w:szCs w:val="28"/>
              </w:rPr>
              <w:t>Mục Tiêu SMART</w:t>
            </w:r>
          </w:p>
        </w:tc>
        <w:tc>
          <w:tcPr>
            <w:tcW w:w="8634" w:type="dxa"/>
            <w:gridSpan w:val="3"/>
            <w:vAlign w:val="center"/>
          </w:tcPr>
          <w:p w14:paraId="220BEFA7" w14:textId="51FE8A6C" w:rsidR="00BA43A8" w:rsidRPr="00BB4C42" w:rsidRDefault="00BA43A8" w:rsidP="00BA43A8">
            <w:pPr>
              <w:widowControl w:val="0"/>
              <w:jc w:val="center"/>
              <w:rPr>
                <w:rFonts w:asciiTheme="majorHAnsi" w:eastAsia="Gill Sans" w:hAnsiTheme="majorHAnsi" w:cstheme="majorHAnsi"/>
                <w:b/>
                <w:bCs/>
                <w:sz w:val="28"/>
                <w:szCs w:val="28"/>
              </w:rPr>
            </w:pPr>
            <w:r w:rsidRPr="00BB4C42">
              <w:rPr>
                <w:rFonts w:asciiTheme="majorHAnsi" w:hAnsiTheme="majorHAnsi" w:cstheme="majorHAnsi"/>
                <w:b/>
                <w:bCs/>
                <w:color w:val="BA0C2F"/>
                <w:sz w:val="28"/>
                <w:szCs w:val="28"/>
              </w:rPr>
              <w:t>Kế Hoạch</w:t>
            </w:r>
          </w:p>
        </w:tc>
      </w:tr>
      <w:tr w:rsidR="00BA43A8" w:rsidRPr="00BB4C42" w14:paraId="29A5E086" w14:textId="77777777" w:rsidTr="00BA43A8">
        <w:trPr>
          <w:trHeight w:val="881"/>
        </w:trPr>
        <w:tc>
          <w:tcPr>
            <w:tcW w:w="2878" w:type="dxa"/>
            <w:vMerge/>
            <w:vAlign w:val="center"/>
          </w:tcPr>
          <w:p w14:paraId="6D31B63D" w14:textId="77777777" w:rsidR="00BA43A8" w:rsidRPr="00BB4C42" w:rsidRDefault="00BA43A8" w:rsidP="00BA43A8">
            <w:pPr>
              <w:widowControl w:val="0"/>
              <w:jc w:val="center"/>
              <w:rPr>
                <w:rFonts w:asciiTheme="majorHAnsi" w:eastAsia="Gill Sans" w:hAnsiTheme="majorHAnsi" w:cstheme="majorHAnsi"/>
                <w:sz w:val="28"/>
                <w:szCs w:val="28"/>
              </w:rPr>
            </w:pPr>
          </w:p>
        </w:tc>
        <w:tc>
          <w:tcPr>
            <w:tcW w:w="2878" w:type="dxa"/>
            <w:vMerge/>
            <w:vAlign w:val="center"/>
          </w:tcPr>
          <w:p w14:paraId="27294609" w14:textId="77777777" w:rsidR="00BA43A8" w:rsidRPr="00BB4C42" w:rsidRDefault="00BA43A8" w:rsidP="00BA43A8">
            <w:pPr>
              <w:widowControl w:val="0"/>
              <w:jc w:val="center"/>
              <w:rPr>
                <w:rFonts w:asciiTheme="majorHAnsi" w:eastAsia="Gill Sans" w:hAnsiTheme="majorHAnsi" w:cstheme="majorHAnsi"/>
                <w:sz w:val="28"/>
                <w:szCs w:val="28"/>
              </w:rPr>
            </w:pPr>
          </w:p>
        </w:tc>
        <w:tc>
          <w:tcPr>
            <w:tcW w:w="2878" w:type="dxa"/>
            <w:vAlign w:val="center"/>
          </w:tcPr>
          <w:p w14:paraId="7570951E" w14:textId="46F6DAC0" w:rsidR="00BA43A8" w:rsidRPr="00BB4C42" w:rsidRDefault="00BA43A8" w:rsidP="00BA43A8">
            <w:pPr>
              <w:widowControl w:val="0"/>
              <w:jc w:val="center"/>
              <w:rPr>
                <w:rFonts w:asciiTheme="majorHAnsi" w:eastAsia="Gill Sans" w:hAnsiTheme="majorHAnsi" w:cstheme="majorHAnsi"/>
                <w:b/>
                <w:bCs/>
                <w:color w:val="002F6C"/>
                <w:sz w:val="28"/>
                <w:szCs w:val="28"/>
              </w:rPr>
            </w:pPr>
            <w:r w:rsidRPr="00BB4C42">
              <w:rPr>
                <w:rFonts w:asciiTheme="majorHAnsi" w:hAnsiTheme="majorHAnsi" w:cstheme="majorHAnsi"/>
                <w:b/>
                <w:bCs/>
                <w:color w:val="002F6C"/>
                <w:sz w:val="28"/>
                <w:szCs w:val="28"/>
              </w:rPr>
              <w:t>Năm 1</w:t>
            </w:r>
          </w:p>
        </w:tc>
        <w:tc>
          <w:tcPr>
            <w:tcW w:w="2878" w:type="dxa"/>
            <w:vAlign w:val="center"/>
          </w:tcPr>
          <w:p w14:paraId="7B159588" w14:textId="5FAA872C" w:rsidR="00BA43A8" w:rsidRPr="00BB4C42" w:rsidRDefault="00BA43A8" w:rsidP="00BA43A8">
            <w:pPr>
              <w:widowControl w:val="0"/>
              <w:jc w:val="center"/>
              <w:rPr>
                <w:rFonts w:asciiTheme="majorHAnsi" w:eastAsia="Gill Sans" w:hAnsiTheme="majorHAnsi" w:cstheme="majorHAnsi"/>
                <w:b/>
                <w:bCs/>
                <w:color w:val="002F6C"/>
                <w:sz w:val="28"/>
                <w:szCs w:val="28"/>
              </w:rPr>
            </w:pPr>
            <w:r w:rsidRPr="00BB4C42">
              <w:rPr>
                <w:rFonts w:asciiTheme="majorHAnsi" w:hAnsiTheme="majorHAnsi" w:cstheme="majorHAnsi"/>
                <w:b/>
                <w:bCs/>
                <w:color w:val="002F6C"/>
                <w:sz w:val="28"/>
                <w:szCs w:val="28"/>
              </w:rPr>
              <w:t>Năm 2</w:t>
            </w:r>
          </w:p>
        </w:tc>
        <w:tc>
          <w:tcPr>
            <w:tcW w:w="2878" w:type="dxa"/>
            <w:vAlign w:val="center"/>
          </w:tcPr>
          <w:p w14:paraId="06168981" w14:textId="6435F210" w:rsidR="00BA43A8" w:rsidRPr="00BB4C42" w:rsidRDefault="00BA43A8" w:rsidP="00BA43A8">
            <w:pPr>
              <w:widowControl w:val="0"/>
              <w:jc w:val="center"/>
              <w:rPr>
                <w:rFonts w:asciiTheme="majorHAnsi" w:eastAsia="Gill Sans" w:hAnsiTheme="majorHAnsi" w:cstheme="majorHAnsi"/>
                <w:b/>
                <w:bCs/>
                <w:color w:val="002F6C"/>
                <w:sz w:val="28"/>
                <w:szCs w:val="28"/>
              </w:rPr>
            </w:pPr>
            <w:r w:rsidRPr="00BB4C42">
              <w:rPr>
                <w:rFonts w:asciiTheme="majorHAnsi" w:hAnsiTheme="majorHAnsi" w:cstheme="majorHAnsi"/>
                <w:b/>
                <w:bCs/>
                <w:color w:val="002F6C"/>
                <w:sz w:val="28"/>
                <w:szCs w:val="28"/>
              </w:rPr>
              <w:t>Năm 3</w:t>
            </w:r>
          </w:p>
        </w:tc>
      </w:tr>
      <w:tr w:rsidR="00BA43A8" w:rsidRPr="00BB4C42" w14:paraId="0ACDED70" w14:textId="77777777" w:rsidTr="00BA43A8">
        <w:tc>
          <w:tcPr>
            <w:tcW w:w="2878" w:type="dxa"/>
          </w:tcPr>
          <w:p w14:paraId="5BA3332B" w14:textId="5C374422" w:rsidR="00BA43A8" w:rsidRPr="003716E0" w:rsidRDefault="00BA43A8" w:rsidP="00F6580E">
            <w:pPr>
              <w:widowControl w:val="0"/>
              <w:spacing w:line="276" w:lineRule="auto"/>
              <w:rPr>
                <w:rFonts w:asciiTheme="majorHAnsi" w:hAnsiTheme="majorHAnsi" w:cstheme="majorHAnsi"/>
                <w:i/>
                <w:color w:val="6C6463"/>
                <w:sz w:val="18"/>
                <w:szCs w:val="18"/>
              </w:rPr>
            </w:pPr>
            <w:r w:rsidRPr="00BB4C42">
              <w:rPr>
                <w:rFonts w:asciiTheme="majorHAnsi" w:hAnsiTheme="majorHAnsi" w:cstheme="majorHAnsi"/>
                <w:i/>
                <w:color w:val="6C6463"/>
                <w:sz w:val="18"/>
                <w:szCs w:val="18"/>
              </w:rPr>
              <w:t xml:space="preserve">Ví dụ: Trả lương bình đẳng cho phụ nữ và </w:t>
            </w:r>
            <w:r w:rsidR="00F6580E" w:rsidRPr="003716E0">
              <w:rPr>
                <w:rFonts w:asciiTheme="majorHAnsi" w:hAnsiTheme="majorHAnsi" w:cstheme="majorHAnsi"/>
                <w:i/>
                <w:color w:val="6C6463"/>
                <w:sz w:val="18"/>
                <w:szCs w:val="18"/>
              </w:rPr>
              <w:t>đàn ông</w:t>
            </w:r>
          </w:p>
        </w:tc>
        <w:tc>
          <w:tcPr>
            <w:tcW w:w="2878" w:type="dxa"/>
          </w:tcPr>
          <w:p w14:paraId="1EEEE532" w14:textId="1A42CECD" w:rsidR="00BA43A8" w:rsidRPr="00BB4C42" w:rsidRDefault="00BA43A8" w:rsidP="00F6580E">
            <w:pPr>
              <w:widowControl w:val="0"/>
              <w:rPr>
                <w:rFonts w:asciiTheme="majorHAnsi" w:eastAsia="Gill Sans" w:hAnsiTheme="majorHAnsi" w:cstheme="majorHAnsi"/>
                <w:sz w:val="24"/>
                <w:szCs w:val="24"/>
              </w:rPr>
            </w:pPr>
            <w:r w:rsidRPr="00BB4C42">
              <w:rPr>
                <w:rFonts w:asciiTheme="majorHAnsi" w:hAnsiTheme="majorHAnsi" w:cstheme="majorHAnsi"/>
                <w:i/>
                <w:color w:val="6C6463"/>
                <w:sz w:val="18"/>
                <w:szCs w:val="18"/>
              </w:rPr>
              <w:t xml:space="preserve">Ví dụ: Đảm bảo tất cả phụ nữ và </w:t>
            </w:r>
            <w:r w:rsidR="00F6580E" w:rsidRPr="003716E0">
              <w:rPr>
                <w:rFonts w:asciiTheme="majorHAnsi" w:hAnsiTheme="majorHAnsi" w:cstheme="majorHAnsi"/>
                <w:i/>
                <w:color w:val="6C6463"/>
                <w:sz w:val="18"/>
                <w:szCs w:val="18"/>
              </w:rPr>
              <w:t>đàn ông</w:t>
            </w:r>
            <w:r w:rsidRPr="00BB4C42">
              <w:rPr>
                <w:rFonts w:asciiTheme="majorHAnsi" w:hAnsiTheme="majorHAnsi" w:cstheme="majorHAnsi"/>
                <w:i/>
                <w:color w:val="6C6463"/>
                <w:sz w:val="18"/>
                <w:szCs w:val="18"/>
              </w:rPr>
              <w:t xml:space="preserve"> đều được trả lương bình đẳng với công việc như nhau trong các loại và chức năng việc làm trong vòng ba năm</w:t>
            </w:r>
          </w:p>
        </w:tc>
        <w:tc>
          <w:tcPr>
            <w:tcW w:w="2878" w:type="dxa"/>
          </w:tcPr>
          <w:p w14:paraId="7277DCFB" w14:textId="33CF1298" w:rsidR="00BA43A8" w:rsidRPr="00BB4C42" w:rsidRDefault="00BA43A8" w:rsidP="00BA43A8">
            <w:pPr>
              <w:widowControl w:val="0"/>
              <w:rPr>
                <w:rFonts w:asciiTheme="majorHAnsi" w:hAnsiTheme="majorHAnsi" w:cstheme="majorHAnsi"/>
                <w:i/>
                <w:color w:val="6C6463"/>
                <w:sz w:val="18"/>
                <w:szCs w:val="18"/>
              </w:rPr>
            </w:pPr>
            <w:r w:rsidRPr="00BB4C42">
              <w:rPr>
                <w:rFonts w:asciiTheme="majorHAnsi" w:hAnsiTheme="majorHAnsi" w:cstheme="majorHAnsi"/>
                <w:i/>
                <w:color w:val="6C6463"/>
                <w:sz w:val="18"/>
                <w:szCs w:val="18"/>
              </w:rPr>
              <w:t xml:space="preserve">Ví dụ: Tiến hành phân tích sự chênh lệch về mức lương để xác định sự khác biệt về giới trong các loại và chức năng việc làm; nghiêm cấm </w:t>
            </w:r>
            <w:r w:rsidR="00BB4C42" w:rsidRPr="003716E0">
              <w:rPr>
                <w:rFonts w:asciiTheme="majorHAnsi" w:hAnsiTheme="majorHAnsi" w:cstheme="majorHAnsi"/>
                <w:i/>
                <w:color w:val="6C6463"/>
                <w:sz w:val="18"/>
                <w:szCs w:val="18"/>
              </w:rPr>
              <w:t xml:space="preserve">các nhân viên mới </w:t>
            </w:r>
            <w:r w:rsidRPr="00BB4C42">
              <w:rPr>
                <w:rFonts w:asciiTheme="majorHAnsi" w:hAnsiTheme="majorHAnsi" w:cstheme="majorHAnsi"/>
                <w:i/>
                <w:color w:val="6C6463"/>
                <w:sz w:val="18"/>
                <w:szCs w:val="18"/>
              </w:rPr>
              <w:t>hỏi về lịch sử mức lương trướ</w:t>
            </w:r>
            <w:r w:rsidR="00BB4C42">
              <w:rPr>
                <w:rFonts w:asciiTheme="majorHAnsi" w:hAnsiTheme="majorHAnsi" w:cstheme="majorHAnsi"/>
                <w:i/>
                <w:color w:val="6C6463"/>
                <w:sz w:val="18"/>
                <w:szCs w:val="18"/>
              </w:rPr>
              <w:t>c đây</w:t>
            </w:r>
          </w:p>
          <w:p w14:paraId="4DDB6A35" w14:textId="782304B0" w:rsidR="00BA43A8" w:rsidRPr="00BB4C42" w:rsidRDefault="00BA43A8" w:rsidP="00BA43A8">
            <w:pPr>
              <w:jc w:val="center"/>
              <w:rPr>
                <w:rFonts w:asciiTheme="majorHAnsi" w:eastAsia="Gill Sans" w:hAnsiTheme="majorHAnsi" w:cstheme="majorHAnsi"/>
                <w:sz w:val="24"/>
                <w:szCs w:val="24"/>
              </w:rPr>
            </w:pPr>
          </w:p>
        </w:tc>
        <w:tc>
          <w:tcPr>
            <w:tcW w:w="2878" w:type="dxa"/>
          </w:tcPr>
          <w:p w14:paraId="1CFA4389" w14:textId="1221F1BA" w:rsidR="00BA43A8" w:rsidRPr="00BB4C42" w:rsidRDefault="00BA43A8" w:rsidP="00BA43A8">
            <w:pPr>
              <w:widowControl w:val="0"/>
              <w:rPr>
                <w:rFonts w:asciiTheme="majorHAnsi" w:hAnsiTheme="majorHAnsi" w:cstheme="majorHAnsi"/>
                <w:i/>
                <w:color w:val="6C6463"/>
                <w:sz w:val="18"/>
                <w:szCs w:val="18"/>
              </w:rPr>
            </w:pPr>
            <w:r w:rsidRPr="00BB4C42">
              <w:rPr>
                <w:rFonts w:asciiTheme="majorHAnsi" w:hAnsiTheme="majorHAnsi" w:cstheme="majorHAnsi"/>
                <w:i/>
                <w:color w:val="6C6463"/>
                <w:sz w:val="18"/>
                <w:szCs w:val="18"/>
              </w:rPr>
              <w:t>Ví dụ: Thu hẹp khoảng cách thu nhập theo giới tính trong các loại và chức năng việc làm xuống 50% bằng cách tăng lương trong các đợt đánh giá hiệu suất hàng năm</w:t>
            </w:r>
          </w:p>
          <w:p w14:paraId="2B09F5D4" w14:textId="77777777" w:rsidR="00BA43A8" w:rsidRPr="00BB4C42" w:rsidRDefault="00BA43A8">
            <w:pPr>
              <w:widowControl w:val="0"/>
              <w:rPr>
                <w:rFonts w:asciiTheme="majorHAnsi" w:eastAsia="Gill Sans" w:hAnsiTheme="majorHAnsi" w:cstheme="majorHAnsi"/>
                <w:sz w:val="24"/>
                <w:szCs w:val="24"/>
              </w:rPr>
            </w:pPr>
          </w:p>
          <w:p w14:paraId="7586522F" w14:textId="5C9714E8" w:rsidR="00BA43A8" w:rsidRPr="00BB4C42" w:rsidRDefault="00BA43A8" w:rsidP="00BA43A8">
            <w:pPr>
              <w:ind w:firstLine="720"/>
              <w:rPr>
                <w:rFonts w:asciiTheme="majorHAnsi" w:eastAsia="Gill Sans" w:hAnsiTheme="majorHAnsi" w:cstheme="majorHAnsi"/>
                <w:sz w:val="24"/>
                <w:szCs w:val="24"/>
              </w:rPr>
            </w:pPr>
          </w:p>
        </w:tc>
        <w:tc>
          <w:tcPr>
            <w:tcW w:w="2878" w:type="dxa"/>
          </w:tcPr>
          <w:p w14:paraId="7F971E95" w14:textId="30C66E5B" w:rsidR="00BA43A8" w:rsidRPr="00BB4C42" w:rsidRDefault="00BA43A8" w:rsidP="00BA43A8">
            <w:pPr>
              <w:widowControl w:val="0"/>
              <w:rPr>
                <w:rFonts w:asciiTheme="majorHAnsi" w:hAnsiTheme="majorHAnsi" w:cstheme="majorHAnsi"/>
                <w:i/>
                <w:color w:val="6C6463"/>
                <w:sz w:val="18"/>
                <w:szCs w:val="18"/>
              </w:rPr>
            </w:pPr>
            <w:r w:rsidRPr="00BB4C42">
              <w:rPr>
                <w:rFonts w:asciiTheme="majorHAnsi" w:hAnsiTheme="majorHAnsi" w:cstheme="majorHAnsi"/>
                <w:i/>
                <w:color w:val="6C6463"/>
                <w:sz w:val="18"/>
                <w:szCs w:val="18"/>
              </w:rPr>
              <w:t>Ví dụ: Thu hẹp khoảng cách thu nhập theo giới tính trong các loại và chức năng việc làm xuống  75% bằng cách tăng lương trong các đợt đánh giá hiệu suất hàng năm</w:t>
            </w:r>
          </w:p>
          <w:p w14:paraId="0B3AA0C5" w14:textId="77777777" w:rsidR="00BA43A8" w:rsidRPr="00BB4C42" w:rsidRDefault="00BA43A8">
            <w:pPr>
              <w:widowControl w:val="0"/>
              <w:rPr>
                <w:rFonts w:asciiTheme="majorHAnsi" w:eastAsia="Gill Sans" w:hAnsiTheme="majorHAnsi" w:cstheme="majorHAnsi"/>
                <w:sz w:val="24"/>
                <w:szCs w:val="24"/>
              </w:rPr>
            </w:pPr>
          </w:p>
          <w:p w14:paraId="3D0BDA99" w14:textId="03E5354E" w:rsidR="00BA43A8" w:rsidRPr="00BB4C42" w:rsidRDefault="00BA43A8" w:rsidP="00BA43A8">
            <w:pPr>
              <w:jc w:val="center"/>
              <w:rPr>
                <w:rFonts w:asciiTheme="majorHAnsi" w:eastAsia="Gill Sans" w:hAnsiTheme="majorHAnsi" w:cstheme="majorHAnsi"/>
                <w:sz w:val="24"/>
                <w:szCs w:val="24"/>
              </w:rPr>
            </w:pPr>
          </w:p>
        </w:tc>
      </w:tr>
      <w:tr w:rsidR="00BA43A8" w:rsidRPr="00BB4C42" w14:paraId="4CBC0B14" w14:textId="77777777" w:rsidTr="00BA43A8">
        <w:trPr>
          <w:trHeight w:val="2160"/>
        </w:trPr>
        <w:tc>
          <w:tcPr>
            <w:tcW w:w="2878" w:type="dxa"/>
          </w:tcPr>
          <w:p w14:paraId="191A8A9A" w14:textId="77777777" w:rsidR="00BA43A8" w:rsidRPr="00BB4C42" w:rsidRDefault="00BA43A8">
            <w:pPr>
              <w:widowControl w:val="0"/>
              <w:rPr>
                <w:rFonts w:asciiTheme="majorHAnsi" w:eastAsia="Gill Sans" w:hAnsiTheme="majorHAnsi" w:cstheme="majorHAnsi"/>
                <w:sz w:val="24"/>
                <w:szCs w:val="24"/>
              </w:rPr>
            </w:pPr>
          </w:p>
        </w:tc>
        <w:tc>
          <w:tcPr>
            <w:tcW w:w="2878" w:type="dxa"/>
          </w:tcPr>
          <w:p w14:paraId="2A43F02B" w14:textId="77777777" w:rsidR="00BA43A8" w:rsidRPr="00BB4C42" w:rsidRDefault="00BA43A8">
            <w:pPr>
              <w:widowControl w:val="0"/>
              <w:rPr>
                <w:rFonts w:asciiTheme="majorHAnsi" w:eastAsia="Gill Sans" w:hAnsiTheme="majorHAnsi" w:cstheme="majorHAnsi"/>
                <w:sz w:val="24"/>
                <w:szCs w:val="24"/>
              </w:rPr>
            </w:pPr>
          </w:p>
        </w:tc>
        <w:tc>
          <w:tcPr>
            <w:tcW w:w="2878" w:type="dxa"/>
          </w:tcPr>
          <w:p w14:paraId="0B615A45" w14:textId="77777777" w:rsidR="00BA43A8" w:rsidRPr="00BB4C42" w:rsidRDefault="00BA43A8">
            <w:pPr>
              <w:widowControl w:val="0"/>
              <w:rPr>
                <w:rFonts w:asciiTheme="majorHAnsi" w:eastAsia="Gill Sans" w:hAnsiTheme="majorHAnsi" w:cstheme="majorHAnsi"/>
                <w:sz w:val="24"/>
                <w:szCs w:val="24"/>
              </w:rPr>
            </w:pPr>
          </w:p>
        </w:tc>
        <w:tc>
          <w:tcPr>
            <w:tcW w:w="2878" w:type="dxa"/>
          </w:tcPr>
          <w:p w14:paraId="30D0C8D5" w14:textId="77777777" w:rsidR="00BA43A8" w:rsidRPr="00BB4C42" w:rsidRDefault="00BA43A8">
            <w:pPr>
              <w:widowControl w:val="0"/>
              <w:rPr>
                <w:rFonts w:asciiTheme="majorHAnsi" w:eastAsia="Gill Sans" w:hAnsiTheme="majorHAnsi" w:cstheme="majorHAnsi"/>
                <w:sz w:val="24"/>
                <w:szCs w:val="24"/>
              </w:rPr>
            </w:pPr>
          </w:p>
        </w:tc>
        <w:tc>
          <w:tcPr>
            <w:tcW w:w="2878" w:type="dxa"/>
          </w:tcPr>
          <w:p w14:paraId="54B55CF5" w14:textId="77777777" w:rsidR="00BA43A8" w:rsidRPr="00BB4C42" w:rsidRDefault="00BA43A8">
            <w:pPr>
              <w:widowControl w:val="0"/>
              <w:rPr>
                <w:rFonts w:asciiTheme="majorHAnsi" w:eastAsia="Gill Sans" w:hAnsiTheme="majorHAnsi" w:cstheme="majorHAnsi"/>
                <w:sz w:val="24"/>
                <w:szCs w:val="24"/>
              </w:rPr>
            </w:pPr>
          </w:p>
        </w:tc>
      </w:tr>
      <w:tr w:rsidR="00BA43A8" w:rsidRPr="00BB4C42" w14:paraId="3D3CD6B0" w14:textId="77777777" w:rsidTr="00BA43A8">
        <w:trPr>
          <w:trHeight w:val="2160"/>
        </w:trPr>
        <w:tc>
          <w:tcPr>
            <w:tcW w:w="2878" w:type="dxa"/>
          </w:tcPr>
          <w:p w14:paraId="6501E391" w14:textId="77777777" w:rsidR="00BA43A8" w:rsidRPr="00BB4C42" w:rsidRDefault="00BA43A8">
            <w:pPr>
              <w:widowControl w:val="0"/>
              <w:rPr>
                <w:rFonts w:asciiTheme="majorHAnsi" w:eastAsia="Gill Sans" w:hAnsiTheme="majorHAnsi" w:cstheme="majorHAnsi"/>
                <w:sz w:val="24"/>
                <w:szCs w:val="24"/>
              </w:rPr>
            </w:pPr>
          </w:p>
        </w:tc>
        <w:tc>
          <w:tcPr>
            <w:tcW w:w="2878" w:type="dxa"/>
          </w:tcPr>
          <w:p w14:paraId="148421B2" w14:textId="77777777" w:rsidR="00BA43A8" w:rsidRPr="00BB4C42" w:rsidRDefault="00BA43A8">
            <w:pPr>
              <w:widowControl w:val="0"/>
              <w:rPr>
                <w:rFonts w:asciiTheme="majorHAnsi" w:eastAsia="Gill Sans" w:hAnsiTheme="majorHAnsi" w:cstheme="majorHAnsi"/>
                <w:sz w:val="24"/>
                <w:szCs w:val="24"/>
              </w:rPr>
            </w:pPr>
          </w:p>
        </w:tc>
        <w:tc>
          <w:tcPr>
            <w:tcW w:w="2878" w:type="dxa"/>
          </w:tcPr>
          <w:p w14:paraId="2C0D7259" w14:textId="77777777" w:rsidR="00BA43A8" w:rsidRPr="00BB4C42" w:rsidRDefault="00BA43A8">
            <w:pPr>
              <w:widowControl w:val="0"/>
              <w:rPr>
                <w:rFonts w:asciiTheme="majorHAnsi" w:eastAsia="Gill Sans" w:hAnsiTheme="majorHAnsi" w:cstheme="majorHAnsi"/>
                <w:sz w:val="24"/>
                <w:szCs w:val="24"/>
              </w:rPr>
            </w:pPr>
          </w:p>
        </w:tc>
        <w:tc>
          <w:tcPr>
            <w:tcW w:w="2878" w:type="dxa"/>
          </w:tcPr>
          <w:p w14:paraId="1AE87B27" w14:textId="77777777" w:rsidR="00BA43A8" w:rsidRPr="00BB4C42" w:rsidRDefault="00BA43A8">
            <w:pPr>
              <w:widowControl w:val="0"/>
              <w:rPr>
                <w:rFonts w:asciiTheme="majorHAnsi" w:eastAsia="Gill Sans" w:hAnsiTheme="majorHAnsi" w:cstheme="majorHAnsi"/>
                <w:sz w:val="24"/>
                <w:szCs w:val="24"/>
              </w:rPr>
            </w:pPr>
          </w:p>
        </w:tc>
        <w:tc>
          <w:tcPr>
            <w:tcW w:w="2878" w:type="dxa"/>
          </w:tcPr>
          <w:p w14:paraId="63C95132" w14:textId="77777777" w:rsidR="00BA43A8" w:rsidRPr="00BB4C42" w:rsidRDefault="00BA43A8">
            <w:pPr>
              <w:widowControl w:val="0"/>
              <w:rPr>
                <w:rFonts w:asciiTheme="majorHAnsi" w:eastAsia="Gill Sans" w:hAnsiTheme="majorHAnsi" w:cstheme="majorHAnsi"/>
                <w:sz w:val="24"/>
                <w:szCs w:val="24"/>
              </w:rPr>
            </w:pPr>
          </w:p>
        </w:tc>
      </w:tr>
    </w:tbl>
    <w:p w14:paraId="09524C67" w14:textId="77777777" w:rsidR="00343C7C" w:rsidRPr="00BB4C42" w:rsidRDefault="00343C7C">
      <w:pPr>
        <w:widowControl w:val="0"/>
        <w:spacing w:line="240" w:lineRule="auto"/>
        <w:rPr>
          <w:rFonts w:asciiTheme="majorHAnsi" w:eastAsia="Gill Sans" w:hAnsiTheme="majorHAnsi" w:cstheme="majorHAnsi"/>
          <w:sz w:val="24"/>
          <w:szCs w:val="24"/>
        </w:rPr>
      </w:pPr>
    </w:p>
    <w:sectPr w:rsidR="00343C7C" w:rsidRPr="00BB4C42" w:rsidSect="0033301A">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20B0502020104020203"/>
    <w:charset w:val="B1"/>
    <w:family w:val="swiss"/>
    <w:pitch w:val="variable"/>
    <w:sig w:usb0="80000A67" w:usb1="00000000" w:usb2="00000000" w:usb3="00000000" w:csb0="000001F7"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7C"/>
    <w:rsid w:val="0033301A"/>
    <w:rsid w:val="00343C7C"/>
    <w:rsid w:val="0034740D"/>
    <w:rsid w:val="003716E0"/>
    <w:rsid w:val="005A09B6"/>
    <w:rsid w:val="007430B2"/>
    <w:rsid w:val="00BA43A8"/>
    <w:rsid w:val="00BB4C42"/>
    <w:rsid w:val="00BC0CDF"/>
    <w:rsid w:val="00F658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4B0F"/>
  <w15:docId w15:val="{60FEE802-C349-4C7A-BA6E-E5E1F9F3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BA43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58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8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 26</dc:creator>
  <cp:lastModifiedBy>Rick Levy</cp:lastModifiedBy>
  <cp:revision>2</cp:revision>
  <dcterms:created xsi:type="dcterms:W3CDTF">2021-08-20T17:16:00Z</dcterms:created>
  <dcterms:modified xsi:type="dcterms:W3CDTF">2021-08-20T17:16:00Z</dcterms:modified>
</cp:coreProperties>
</file>